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3F" w:rsidRDefault="00C4453F" w:rsidP="00135C64">
      <w:pPr>
        <w:pStyle w:val="a3"/>
        <w:shd w:val="clear" w:color="auto" w:fill="FFFFFF"/>
        <w:jc w:val="center"/>
        <w:rPr>
          <w:rFonts w:ascii="Georgia" w:hAnsi="Georgia" w:cs="Tahoma"/>
          <w:b/>
          <w:bCs/>
          <w:color w:val="333333"/>
          <w:sz w:val="26"/>
          <w:szCs w:val="26"/>
        </w:rPr>
      </w:pPr>
      <w:r w:rsidRPr="00C4453F">
        <w:rPr>
          <w:rFonts w:ascii="Georgia" w:hAnsi="Georgia" w:cs="Tahoma"/>
          <w:b/>
          <w:bCs/>
          <w:color w:val="FF0000"/>
          <w:sz w:val="26"/>
          <w:szCs w:val="26"/>
        </w:rPr>
        <w:t xml:space="preserve">Рабочие материалы и </w:t>
      </w:r>
      <w:r>
        <w:rPr>
          <w:rFonts w:ascii="Georgia" w:hAnsi="Georgia" w:cs="Tahoma"/>
          <w:b/>
          <w:bCs/>
          <w:color w:val="FF0000"/>
          <w:sz w:val="26"/>
          <w:szCs w:val="26"/>
        </w:rPr>
        <w:t xml:space="preserve">рекомендуемые </w:t>
      </w:r>
      <w:r w:rsidRPr="00C4453F">
        <w:rPr>
          <w:rFonts w:ascii="Georgia" w:hAnsi="Georgia" w:cs="Tahoma"/>
          <w:b/>
          <w:bCs/>
          <w:color w:val="FF0000"/>
          <w:sz w:val="26"/>
          <w:szCs w:val="26"/>
        </w:rPr>
        <w:t xml:space="preserve">публикации с сайта </w:t>
      </w:r>
      <w:r>
        <w:rPr>
          <w:rFonts w:ascii="Georgia" w:hAnsi="Georgia" w:cs="Tahoma"/>
          <w:b/>
          <w:bCs/>
          <w:color w:val="333333"/>
          <w:sz w:val="26"/>
          <w:szCs w:val="26"/>
        </w:rPr>
        <w:t>ИНСТИТУТА СТРАТЕГИИ РАЗВИТИЯ ОБРАЗОВАНИЯ РОССИЙСКОЙ АКАДЕМИИ ОБРАЗОВАНИЯ</w:t>
      </w:r>
    </w:p>
    <w:p w:rsidR="00C4453F" w:rsidRDefault="00C4453F" w:rsidP="00C4453F">
      <w:pPr>
        <w:pStyle w:val="1"/>
        <w:pBdr>
          <w:bottom w:val="single" w:sz="6" w:space="4" w:color="CCCCCC"/>
        </w:pBdr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О проекте</w:t>
      </w:r>
    </w:p>
    <w:p w:rsidR="00C4453F" w:rsidRDefault="00C4453F" w:rsidP="00C4453F">
      <w:pPr>
        <w:pStyle w:val="a3"/>
        <w:shd w:val="clear" w:color="auto" w:fill="FFFFFF"/>
        <w:spacing w:after="240" w:afterAutospacing="0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  <w:shd w:val="clear" w:color="auto" w:fill="EEECE1"/>
        </w:rPr>
        <w:t>Проект «Мониторинг формирования функциональной грамотности учащихся»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</w:t>
      </w:r>
      <w:r>
        <w:rPr>
          <w:rFonts w:ascii="Verdana" w:hAnsi="Verdana" w:cs="Tahoma"/>
          <w:color w:val="333333"/>
          <w:shd w:val="clear" w:color="auto" w:fill="EEECE1"/>
        </w:rPr>
        <w:t>Цель проекта: Создание Национального инструментария</w:t>
      </w:r>
      <w:r>
        <w:rPr>
          <w:rFonts w:ascii="Verdana" w:hAnsi="Verdana" w:cs="Tahoma"/>
          <w:b/>
          <w:bCs/>
          <w:color w:val="333333"/>
          <w:shd w:val="clear" w:color="auto" w:fill="EEECE1"/>
        </w:rPr>
        <w:t>, </w:t>
      </w:r>
      <w:r>
        <w:rPr>
          <w:rFonts w:ascii="Verdana" w:hAnsi="Verdana" w:cs="Tahoma"/>
          <w:color w:val="333333"/>
          <w:shd w:val="clear" w:color="auto" w:fill="EEECE1"/>
        </w:rPr>
        <w:t>обеспечивающего методическое сопровождение формирования функциональной грамотности обучающихся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</w:t>
      </w:r>
    </w:p>
    <w:p w:rsidR="00C4453F" w:rsidRDefault="00C4453F" w:rsidP="00C4453F">
      <w:pPr>
        <w:pStyle w:val="a3"/>
        <w:shd w:val="clear" w:color="auto" w:fill="EEECE1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 xml:space="preserve">Задачи проекта 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1. Разработка общих подходов к формированию и оценке функциональной грамотности учащихся основной школы.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2. Разработка учебно-методических материалов для формирования и оценки функциональной грамотности учащихся основной школы, включающих в себя: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                      - открытый банк заданий для формирования функциональной грамотности обучающихся 5-9 классов)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                      - методические рекомендации для учителей по использованию открытого банка в учебном процессе и в системе повышения квалификации педагогических кадров;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                      - методическое сопровождение электронной платформы, на которой будет размещен национальный инструментарий для формирования функциональной грамотности.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3. Проведение апробации заданий и диагностических материалов для формирования и оценки функциональной грамотности учащихся 5-9 классов. Обработка результатов апробации.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4. Доработка системы мониторинга формирования функциональной грамотности учащихся 5-9 классов по итогам апробации в части инструментария и технологии проведения.</w:t>
      </w:r>
    </w:p>
    <w:p w:rsidR="00C4453F" w:rsidRDefault="00C4453F" w:rsidP="00C4453F">
      <w:pPr>
        <w:pStyle w:val="a3"/>
        <w:shd w:val="clear" w:color="auto" w:fill="EEECE1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Заказчик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Министерство просвещения Российской Федерации</w:t>
      </w:r>
    </w:p>
    <w:p w:rsidR="00C4453F" w:rsidRDefault="00C4453F" w:rsidP="00C4453F">
      <w:pPr>
        <w:pStyle w:val="a3"/>
        <w:shd w:val="clear" w:color="auto" w:fill="FFFFFF"/>
        <w:rPr>
          <w:rFonts w:ascii="Verdana" w:hAnsi="Verdana" w:cs="Tahoma"/>
          <w:color w:val="333333"/>
        </w:rPr>
      </w:pPr>
      <w:r>
        <w:rPr>
          <w:rFonts w:ascii="Verdana" w:hAnsi="Verdana" w:cs="Tahoma"/>
          <w:color w:val="333333"/>
        </w:rPr>
        <w:t> </w:t>
      </w:r>
    </w:p>
    <w:p w:rsidR="00C4453F" w:rsidRDefault="00C4453F" w:rsidP="00C4453F">
      <w:pPr>
        <w:pStyle w:val="a3"/>
        <w:shd w:val="clear" w:color="auto" w:fill="FFFFFF"/>
        <w:rPr>
          <w:rFonts w:ascii="Verdana" w:hAnsi="Verdana" w:cs="Tahoma"/>
          <w:color w:val="333333"/>
        </w:rPr>
      </w:pP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lastRenderedPageBreak/>
        <w:t>Разработчики: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Специалисты ФГБНУ «Институт стратегии развития образования Российской академии образования», а также ведущих образовательных организаций высшего образования (Московского педагогического государственного университета, Института образования «Национального исследовательского университета «Высшая школа экономики») и региональных центров оценки качества образования (Московского центра качества образования, Центра оценки качества образования Красноярского края), издательства «Просвещение», учителя общеобразовательных организаций.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Руководитель проекта - Ковалева Г.С., руководитель Центра оценки качества </w:t>
      </w:r>
      <w:proofErr w:type="gramStart"/>
      <w:r>
        <w:rPr>
          <w:rFonts w:ascii="Verdana" w:hAnsi="Verdana" w:cs="Tahoma"/>
          <w:color w:val="333333"/>
        </w:rPr>
        <w:t>образования  ФГБНУ</w:t>
      </w:r>
      <w:proofErr w:type="gramEnd"/>
      <w:r>
        <w:rPr>
          <w:rFonts w:ascii="Verdana" w:hAnsi="Verdana" w:cs="Tahoma"/>
          <w:color w:val="333333"/>
        </w:rPr>
        <w:t xml:space="preserve"> «Институт стратегии развития образования Российской академии образования», </w:t>
      </w:r>
      <w:proofErr w:type="spellStart"/>
      <w:r>
        <w:rPr>
          <w:rFonts w:ascii="Verdana" w:hAnsi="Verdana" w:cs="Tahoma"/>
          <w:color w:val="333333"/>
        </w:rPr>
        <w:t>к.п.н</w:t>
      </w:r>
      <w:proofErr w:type="spellEnd"/>
      <w:r>
        <w:rPr>
          <w:rFonts w:ascii="Verdana" w:hAnsi="Verdana" w:cs="Tahoma"/>
          <w:color w:val="333333"/>
        </w:rPr>
        <w:t>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</w:t>
      </w:r>
    </w:p>
    <w:p w:rsidR="00C4453F" w:rsidRDefault="00C4453F" w:rsidP="00C4453F">
      <w:pPr>
        <w:pStyle w:val="a3"/>
        <w:shd w:val="clear" w:color="auto" w:fill="EEECE1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Особенности мониторинга формирования и оценки функциональной грамотности (далее МФФГ):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 w:rsidRPr="00C4453F">
        <w:rPr>
          <w:rFonts w:ascii="Verdana" w:hAnsi="Verdana" w:cs="Tahoma"/>
          <w:b/>
          <w:color w:val="FF0000"/>
        </w:rPr>
        <w:t>Мониторинг формирования функциональной грамотности – это не контроль и не проверка с выстраиванием рейтингов образовательных организаций или регионов. Основой внедрения проекта являются идеи формирующего оценивания: поддержка и обеспечение формирования функциональной грамотности.</w:t>
      </w:r>
      <w:r w:rsidRPr="00C4453F">
        <w:rPr>
          <w:rFonts w:ascii="Verdana" w:hAnsi="Verdana" w:cs="Tahoma"/>
          <w:color w:val="FF0000"/>
        </w:rPr>
        <w:t xml:space="preserve"> </w:t>
      </w:r>
      <w:r>
        <w:rPr>
          <w:rFonts w:ascii="Verdana" w:hAnsi="Verdana" w:cs="Tahoma"/>
          <w:color w:val="333333"/>
        </w:rPr>
        <w:t>Система заданий и диагностических материалов разрабатывается с учетом подходов и инструментария международного исследования PISA</w:t>
      </w:r>
      <w:hyperlink r:id="rId4" w:anchor="_ftn1" w:tooltip="" w:history="1">
        <w:r>
          <w:rPr>
            <w:rStyle w:val="a4"/>
            <w:rFonts w:ascii="Verdana" w:hAnsi="Verdana" w:cs="Tahoma"/>
            <w:color w:val="486DAA"/>
          </w:rPr>
          <w:t>[1]</w:t>
        </w:r>
      </w:hyperlink>
      <w:r>
        <w:rPr>
          <w:rFonts w:ascii="Verdana" w:hAnsi="Verdana" w:cs="Tahoma"/>
          <w:color w:val="333333"/>
        </w:rPr>
        <w:t> (концептуальных рамок, заданий и результатов их выполнения российскими учащимися). При этом используются все отечественные инновационные разработки в данной области.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Концептуальные подходы для мониторинга формирования функциональной грамотности разрабатываются с учетом особенностей учащихся, для которых предназначены задания мониторинга (в 2019 году – 5 и 7 классов, в 2020 году – 6,8,9), но с ориентацией на концептуальные подходы (рамки) PISA-2021.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Разрабатываемая система заданий и диагностических материалов будет способствовать обновлению учебных и методических материалов с учетом переориентации системы образования на новые результаты, сформулированные в ФГОС и связанные с «навыками 21 века», – функциональной грамотностью учащихся и развитием позитивных установок, </w:t>
      </w:r>
      <w:proofErr w:type="gramStart"/>
      <w:r>
        <w:rPr>
          <w:rFonts w:ascii="Verdana" w:hAnsi="Verdana" w:cs="Tahoma"/>
          <w:color w:val="333333"/>
        </w:rPr>
        <w:t>мотивации обучения и стратегий поведения</w:t>
      </w:r>
      <w:proofErr w:type="gramEnd"/>
      <w:r>
        <w:rPr>
          <w:rFonts w:ascii="Verdana" w:hAnsi="Verdana" w:cs="Tahoma"/>
          <w:color w:val="333333"/>
        </w:rPr>
        <w:t xml:space="preserve"> учащихся в различных ситуациях.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Разработка заданий и диагностических материалов для формирования и оценки функциональной грамотности учащихся 5-9 классов осуществляется по 6-ти составляющим функциональной грамотности: </w:t>
      </w:r>
      <w:r>
        <w:rPr>
          <w:rFonts w:ascii="Verdana" w:hAnsi="Verdana" w:cs="Tahoma"/>
          <w:color w:val="333333"/>
        </w:rPr>
        <w:lastRenderedPageBreak/>
        <w:t>математической, читательской, естественнонаучной и финансовой грамотности, глобальным компетенциям, креативному мышлению.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Задания, объединенные в тематические блоки, составляют основу инструментария для оценки функциональной грамотности (</w:t>
      </w:r>
      <w:proofErr w:type="gramStart"/>
      <w:r>
        <w:rPr>
          <w:rFonts w:ascii="Verdana" w:hAnsi="Verdana" w:cs="Tahoma"/>
          <w:color w:val="333333"/>
        </w:rPr>
        <w:t>также</w:t>
      </w:r>
      <w:proofErr w:type="gramEnd"/>
      <w:r>
        <w:rPr>
          <w:rFonts w:ascii="Verdana" w:hAnsi="Verdana" w:cs="Tahoma"/>
          <w:color w:val="333333"/>
        </w:rPr>
        <w:t xml:space="preserve"> как и в исследовании PISA). 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что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 навыки.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Выполнение заданий проводится на компьютерах в режиме онлайн. Ответы учащихся проверяются автоматически компьютерной программой или проверяются экспертами.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За период реализации проекта (2019-2020 годы) разработано более тысячи заданий по различным направлениям функциональной грамотности.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В перспективе: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           Разработка учебно-методических материалов для адресной поддержки совершенствования функциональной </w:t>
      </w:r>
      <w:proofErr w:type="gramStart"/>
      <w:r>
        <w:rPr>
          <w:rFonts w:ascii="Verdana" w:hAnsi="Verdana" w:cs="Tahoma"/>
          <w:color w:val="333333"/>
        </w:rPr>
        <w:t>грамотности:  для</w:t>
      </w:r>
      <w:proofErr w:type="gramEnd"/>
      <w:r>
        <w:rPr>
          <w:rFonts w:ascii="Verdana" w:hAnsi="Verdana" w:cs="Tahoma"/>
          <w:color w:val="333333"/>
        </w:rPr>
        <w:t xml:space="preserve"> обучающихся, демонстрирующих низкий уровень функциональной грамотности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          Разработка учебно-методических материалов для повышения уровня функциональной грамотности обучающихся, проявляющих интерес к инновационным областям деятельности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          Разработка программы повышения квалификации педагогических работников по функциональной грамотности в режиме онлайн с учетом результатов диагностики их обучающихся.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</w:t>
      </w:r>
    </w:p>
    <w:p w:rsidR="00C4453F" w:rsidRDefault="00C4453F" w:rsidP="00C4453F">
      <w:pPr>
        <w:pStyle w:val="a3"/>
        <w:shd w:val="clear" w:color="auto" w:fill="EEECE1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Полученные результаты могут быть использованы для совершенствования российской системы образования.</w:t>
      </w:r>
    </w:p>
    <w:p w:rsidR="00C4453F" w:rsidRDefault="00C4453F" w:rsidP="00C4453F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Все материалы, которые разработаны и будут в дальнейшем разработаны в ходе мониторинга формирования функциональной грамотности (например, учебно-методические материалы), после доработки по результатам апробации будут открыты для использования в учебном процессе и повышения квалификации учителей, также для дальнейших работ по мониторингу системы образования.</w:t>
      </w:r>
    </w:p>
    <w:p w:rsidR="00C4453F" w:rsidRDefault="00C4453F" w:rsidP="00135C64">
      <w:pPr>
        <w:pStyle w:val="a3"/>
        <w:shd w:val="clear" w:color="auto" w:fill="FFFFFF"/>
        <w:jc w:val="center"/>
        <w:rPr>
          <w:rFonts w:ascii="Georgia" w:hAnsi="Georgia" w:cs="Tahoma"/>
          <w:b/>
          <w:bCs/>
          <w:color w:val="333333"/>
          <w:sz w:val="26"/>
          <w:szCs w:val="26"/>
        </w:rPr>
      </w:pPr>
    </w:p>
    <w:p w:rsidR="00135C64" w:rsidRDefault="00135C64" w:rsidP="00135C64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b/>
          <w:bCs/>
          <w:color w:val="333333"/>
          <w:sz w:val="26"/>
          <w:szCs w:val="26"/>
        </w:rPr>
        <w:t>Общие выводы и рекомендации по формированию функциональной грамотности обучающихся основной школы</w:t>
      </w:r>
    </w:p>
    <w:p w:rsidR="00135C64" w:rsidRDefault="00135C64" w:rsidP="00135C64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b/>
          <w:bCs/>
          <w:i/>
          <w:iCs/>
          <w:color w:val="333333"/>
          <w:sz w:val="26"/>
          <w:szCs w:val="26"/>
        </w:rPr>
        <w:t>(по результатам апробации учебных материалов 2020 года)</w:t>
      </w:r>
    </w:p>
    <w:p w:rsidR="00135C64" w:rsidRDefault="00135C64" w:rsidP="00135C64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b/>
          <w:bCs/>
          <w:color w:val="333333"/>
          <w:sz w:val="26"/>
          <w:szCs w:val="26"/>
        </w:rPr>
        <w:t> </w:t>
      </w:r>
    </w:p>
    <w:p w:rsidR="00135C64" w:rsidRDefault="00135C64" w:rsidP="00135C64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b/>
          <w:bCs/>
          <w:color w:val="333333"/>
          <w:sz w:val="26"/>
          <w:szCs w:val="26"/>
        </w:rPr>
        <w:t>Общие выводы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 xml:space="preserve">В ходе анализа результатов апробации учебных материалов для формирования функциональной грамотности обучающихся 6, 8 и 9 классов общеобразовательных организаций Московской области были сделаны предварительные выводы о состоянии </w:t>
      </w:r>
      <w:proofErr w:type="spellStart"/>
      <w:r>
        <w:rPr>
          <w:rFonts w:ascii="Georgia" w:hAnsi="Georgia" w:cs="Tahoma"/>
          <w:color w:val="333333"/>
          <w:sz w:val="26"/>
          <w:szCs w:val="26"/>
        </w:rPr>
        <w:t>сформированности</w:t>
      </w:r>
      <w:proofErr w:type="spellEnd"/>
      <w:r>
        <w:rPr>
          <w:rFonts w:ascii="Georgia" w:hAnsi="Georgia" w:cs="Tahoma"/>
          <w:color w:val="333333"/>
          <w:sz w:val="26"/>
          <w:szCs w:val="26"/>
        </w:rPr>
        <w:t xml:space="preserve"> функциональной грамотности обучающихся и сформулированы рекомендации по формированию функциональной грамотности обучающихся основной школы.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1.                      В целом результаты обучающихся, полученные в ходе апробации учебных материалов, соответствуют результатам, полученным российскими обучающимися в исследовании PISA-2018, хотя разработанные задания в основном были более сложные, чем задания PISA.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 xml:space="preserve">            Уровень освоения основных компетенций, определяющих </w:t>
      </w:r>
      <w:proofErr w:type="spellStart"/>
      <w:r>
        <w:rPr>
          <w:rFonts w:ascii="Georgia" w:hAnsi="Georgia" w:cs="Tahoma"/>
          <w:color w:val="333333"/>
          <w:sz w:val="26"/>
          <w:szCs w:val="26"/>
        </w:rPr>
        <w:t>сформированность</w:t>
      </w:r>
      <w:proofErr w:type="spellEnd"/>
      <w:r>
        <w:rPr>
          <w:rFonts w:ascii="Georgia" w:hAnsi="Georgia" w:cs="Tahoma"/>
          <w:color w:val="333333"/>
          <w:sz w:val="26"/>
          <w:szCs w:val="26"/>
        </w:rPr>
        <w:t xml:space="preserve"> функциональной грамотности, ниже 50%. От 75% до 85% обучающихся продемонстрировали пороговый уровень функциональной грамотности или превысили его по отдельным направлениям функциональной грамотности. 16- 18% обучающихся демонстрируют самые высокие уровни (повышенный и высокий уровни) функциональной грамотности.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2. Положительным моментом, выявленным в ходе мониторинга, является готовность учащихся браться за решение предложенных им задач, даже самых сложных и непривычных, что свидетельствует о потенциале повышения их функциональной грамотности.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000000"/>
          <w:sz w:val="26"/>
          <w:szCs w:val="26"/>
        </w:rPr>
        <w:t>При этом значительная часть учащихся на фоне интереса к описанной ситуации демонстрирует неумение прочитать предложенный текст, выбрать информацию, применить предложенные в качестве дополнительных сведений факты или формулы, вычленить из реальной ситуации предметные аспекты. </w:t>
      </w:r>
      <w:r>
        <w:rPr>
          <w:rFonts w:ascii="Georgia" w:hAnsi="Georgia" w:cs="Tahoma"/>
          <w:color w:val="333333"/>
          <w:sz w:val="26"/>
          <w:szCs w:val="26"/>
        </w:rPr>
        <w:t>Многие учащиеся испытывают серьезные затруднения при вычленении необходимой информации из текста, таблиц, диаграмм и схем.</w:t>
      </w:r>
    </w:p>
    <w:p w:rsidR="00C4453F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000000"/>
          <w:sz w:val="26"/>
          <w:szCs w:val="26"/>
        </w:rPr>
        <w:t>Ответы учащихся демонстрируют неумение переводить информацию из одного формата в другой.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lastRenderedPageBreak/>
        <w:t>Большинство учащиеся испытывают затруднения с переносом даже элементарных знаний в новые ситуации.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3. В условиях проведения работы в дистанционном режиме обучающиеся имели возможность пользоваться любой учебной и справочной литературой, а также поисковыми системами. Подавляющее большинство обучающихся продемонстрировали неспособность оценить, насколько найденная информация подходит к заданию, уместна ли она при ответе на поставленный вопрос.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 xml:space="preserve">4. Результаты обучающихся 9 классов по всем направлениям функциональной грамотности, кроме креативного мышления, практически не отличаются </w:t>
      </w:r>
      <w:proofErr w:type="gramStart"/>
      <w:r>
        <w:rPr>
          <w:rFonts w:ascii="Georgia" w:hAnsi="Georgia" w:cs="Tahoma"/>
          <w:color w:val="333333"/>
          <w:sz w:val="26"/>
          <w:szCs w:val="26"/>
        </w:rPr>
        <w:t>от результатов</w:t>
      </w:r>
      <w:proofErr w:type="gramEnd"/>
      <w:r>
        <w:rPr>
          <w:rFonts w:ascii="Georgia" w:hAnsi="Georgia" w:cs="Tahoma"/>
          <w:color w:val="333333"/>
          <w:sz w:val="26"/>
          <w:szCs w:val="26"/>
        </w:rPr>
        <w:t xml:space="preserve"> учащихся 8-х классов.</w:t>
      </w:r>
    </w:p>
    <w:p w:rsidR="00135C64" w:rsidRPr="00C4453F" w:rsidRDefault="00135C64" w:rsidP="00135C64">
      <w:pPr>
        <w:pStyle w:val="a3"/>
        <w:shd w:val="clear" w:color="auto" w:fill="FFFFFF"/>
        <w:jc w:val="center"/>
        <w:rPr>
          <w:rFonts w:ascii="Tahoma" w:hAnsi="Tahoma" w:cs="Tahoma"/>
          <w:color w:val="FF0000"/>
          <w:sz w:val="19"/>
          <w:szCs w:val="19"/>
        </w:rPr>
      </w:pPr>
      <w:r w:rsidRPr="00C4453F">
        <w:rPr>
          <w:rFonts w:ascii="Georgia" w:hAnsi="Georgia" w:cs="Tahoma"/>
          <w:b/>
          <w:bCs/>
          <w:color w:val="FF0000"/>
          <w:sz w:val="26"/>
          <w:szCs w:val="26"/>
        </w:rPr>
        <w:t>Рекомендации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1. Для эффективного формирования функциональной грамотности ц</w:t>
      </w:r>
      <w:r>
        <w:rPr>
          <w:rFonts w:ascii="Georgia" w:hAnsi="Georgia" w:cs="Tahoma"/>
          <w:color w:val="000000"/>
          <w:sz w:val="26"/>
          <w:szCs w:val="26"/>
        </w:rPr>
        <w:t>елесообразно активнее использовать в образовательном процессе контекстные задачи, задания, построенные на реальных жизненных сюжетах для мотивирования учащихся к осознанному освоению знаний, для формирования умений, связанных с применением знаний в различных контекстах и ситуациях.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2. В учебном процессе необходимо создавать учебные ситуации, инициирующие учебную деятельность учащихся, мотивирующие их на эту деятельность и проясняющие смыслы этой деятельности.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Необходимо наряду с тренировочными учебными заданиями, строящимися по принципу «от способа к задаче» предлагать учебные задания и иного типа («от задачи к выбору способа»), а также иные учебные задания, в которых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 xml:space="preserve">-проблема ставится ВНЕ предметной области, но решается с привлечением предметных и </w:t>
      </w:r>
      <w:proofErr w:type="spellStart"/>
      <w:r>
        <w:rPr>
          <w:rFonts w:ascii="Georgia" w:hAnsi="Georgia" w:cs="Tahoma"/>
          <w:color w:val="333333"/>
          <w:sz w:val="26"/>
          <w:szCs w:val="26"/>
        </w:rPr>
        <w:t>метапредметных</w:t>
      </w:r>
      <w:proofErr w:type="spellEnd"/>
      <w:r>
        <w:rPr>
          <w:rFonts w:ascii="Georgia" w:hAnsi="Georgia" w:cs="Tahoma"/>
          <w:color w:val="333333"/>
          <w:sz w:val="26"/>
          <w:szCs w:val="26"/>
        </w:rPr>
        <w:t xml:space="preserve"> знаний, умений и навыков, при этом требуется «перевод» с обыденного языка на язык предмета;</w:t>
      </w:r>
      <w:bookmarkStart w:id="0" w:name="_GoBack"/>
      <w:bookmarkEnd w:id="0"/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- ситуация требует осознанного принятия решения: выбора способа действий, модели поведения и т.п.;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- не содержится явного или неявного указания на способ действий;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- не только допустима, но и необходима возможность использования альтернативных подходов и решений.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 «Хорошими» заданиями с точки зрения «пошагового» формирования всех составляющих функциональной грамотности являются: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- учебные исследования, проекты и задания проектного типа,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lastRenderedPageBreak/>
        <w:t>- кейсы, ролевые и деловые игры, моральные дилеммы и другие задания, способствующие приобретению опыта позитивных действий,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- задания на демонстрацию понимания смыслов (понятий, утверждений, фразеологизмов, математических выражений, многозначных терминов в разных предметах и т.п.),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- задания на выявление главного, на выявление сущностных свойств, черт и характеристик.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000000"/>
          <w:sz w:val="26"/>
          <w:szCs w:val="26"/>
        </w:rPr>
        <w:t xml:space="preserve">3. Для формирования функциональной грамотности большое значение имеют </w:t>
      </w:r>
      <w:proofErr w:type="spellStart"/>
      <w:r>
        <w:rPr>
          <w:rFonts w:ascii="Georgia" w:hAnsi="Georgia" w:cs="Tahoma"/>
          <w:color w:val="000000"/>
          <w:sz w:val="26"/>
          <w:szCs w:val="26"/>
        </w:rPr>
        <w:t>метапредметные</w:t>
      </w:r>
      <w:proofErr w:type="spellEnd"/>
      <w:r>
        <w:rPr>
          <w:rFonts w:ascii="Georgia" w:hAnsi="Georgia" w:cs="Tahoma"/>
          <w:color w:val="000000"/>
          <w:sz w:val="26"/>
          <w:szCs w:val="26"/>
        </w:rPr>
        <w:t xml:space="preserve"> умения и навыки, в частности, смысловое чтение, умение контролировать, оценивать процесс и результат своей деятельности, критическое,</w:t>
      </w:r>
      <w:r>
        <w:rPr>
          <w:rFonts w:ascii="Georgia" w:hAnsi="Georgia" w:cs="Tahoma"/>
          <w:color w:val="333333"/>
          <w:sz w:val="26"/>
          <w:szCs w:val="26"/>
        </w:rPr>
        <w:t> аналитическое и креативное мышление</w:t>
      </w:r>
      <w:r>
        <w:rPr>
          <w:rFonts w:ascii="Georgia" w:hAnsi="Georgia" w:cs="Tahoma"/>
          <w:color w:val="000000"/>
          <w:sz w:val="26"/>
          <w:szCs w:val="26"/>
        </w:rPr>
        <w:t>. </w:t>
      </w:r>
      <w:r>
        <w:rPr>
          <w:rFonts w:ascii="Georgia" w:hAnsi="Georgia" w:cs="Tahoma"/>
          <w:color w:val="333333"/>
          <w:sz w:val="26"/>
          <w:szCs w:val="26"/>
        </w:rPr>
        <w:t xml:space="preserve">Объединение усилий преподавателей образовательной организации в рамках общей программы достижения </w:t>
      </w:r>
      <w:proofErr w:type="spellStart"/>
      <w:r>
        <w:rPr>
          <w:rFonts w:ascii="Georgia" w:hAnsi="Georgia" w:cs="Tahoma"/>
          <w:color w:val="333333"/>
          <w:sz w:val="26"/>
          <w:szCs w:val="26"/>
        </w:rPr>
        <w:t>метапредметных</w:t>
      </w:r>
      <w:proofErr w:type="spellEnd"/>
      <w:r>
        <w:rPr>
          <w:rFonts w:ascii="Georgia" w:hAnsi="Georgia" w:cs="Tahoma"/>
          <w:color w:val="333333"/>
          <w:sz w:val="26"/>
          <w:szCs w:val="26"/>
        </w:rPr>
        <w:t xml:space="preserve"> результатов образовательного процесса может внести вклад в эффективность их формирования.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4. Необходимо обратить внимание на совершенствование методик преподавания отдельных предметов, направленное на решение задач формирования функциональной грамотности. Например, в области формирования естественнонаучной грамотности необходимо усиление экспериментальной составляющей в изучении естественнонаучных предметов с приданием лабораторным работам исследовательского характера.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5. </w:t>
      </w:r>
      <w:r>
        <w:rPr>
          <w:rFonts w:ascii="Georgia" w:hAnsi="Georgia" w:cs="Tahoma"/>
          <w:color w:val="000000"/>
          <w:sz w:val="26"/>
          <w:szCs w:val="26"/>
        </w:rPr>
        <w:t>Для организации работ, обобщения и распространения опыта и эффективных практик целесообразно использовать ресурсы различных объединений учителей: методических объединений всех уровней, ассоциаций, сетевых сообществ.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6. В области повышения квалификации учителей надо сделать акценты на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- различение оценки и формирования функциональной грамотности обучающихся,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- предусмотреть обучение групп/команд учителей разных предметов, работающих в одной школе, современным подходам к формированию функциональной грамотности обучающихся на основе разработанных и опубликованных учебных и диагностических материалов.</w:t>
      </w:r>
    </w:p>
    <w:p w:rsidR="00135C64" w:rsidRDefault="00135C64" w:rsidP="00135C64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Georgia" w:hAnsi="Georgia" w:cs="Tahoma"/>
          <w:color w:val="333333"/>
          <w:sz w:val="26"/>
          <w:szCs w:val="26"/>
        </w:rPr>
        <w:t>7. Для выявления динамики формирования функциональной грамотности целесообразно регулярно проводить мониторинг формирования функциональной грамотности обучающихся.</w:t>
      </w:r>
    </w:p>
    <w:p w:rsidR="00135C64" w:rsidRPr="00135C64" w:rsidRDefault="00135C64" w:rsidP="00135C64">
      <w:pPr>
        <w:pBdr>
          <w:bottom w:val="single" w:sz="6" w:space="4" w:color="CCCCCC"/>
        </w:pBd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  <w:r w:rsidRPr="00135C64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  <w:t>Общие подходы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lastRenderedPageBreak/>
        <w:t> Общие подходы к оценке функциональной грамотности учащихся основной школы (разработке инструментария и технологии оценки)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Концептуальные рамки для мониторинга ФГ разрабатываются с учетом особенностей учащихся, для которых предназначены задания мониторинга (в 2019 году – 5 и 7 классов, в 2020 году – 6,8,9), но с ориентацией на рамки PISA</w:t>
      </w:r>
      <w:hyperlink r:id="rId5" w:anchor="_ftn1" w:history="1">
        <w:r w:rsidRPr="00135C64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[1]</w:t>
        </w:r>
      </w:hyperlink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-2021.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Основой для разработки банка заданий, как правило, являются различные ситуации реальной жизни. Тексты и ситуации для мониторинга функциональной грамотности подбираются с учетом возрастных особенностей учащихся, релевантности для жизни, интереса учащихся и развития познавательной активности учащихся.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По каждой ситуации разрабатываются задания, оценивающие различные компетенции, обозначенные в концептуальных рамках. Задания, объединенные в тематические блоки, составляют измерительный инструментарий для оценки функциональной грамотности (также, как и в исследовании PISA). 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Направления функциональной грамотности: 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Выполнение заданий проводится на компьютерах в режиме онлайн.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Ответы учащихся проверяются автоматически компьютерной программой или проверяются экспертами.</w:t>
      </w:r>
    </w:p>
    <w:p w:rsidR="00135C64" w:rsidRPr="00135C64" w:rsidRDefault="00135C64" w:rsidP="0013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6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</w:p>
    <w:p w:rsidR="00135C64" w:rsidRPr="00135C64" w:rsidRDefault="00C4453F" w:rsidP="00135C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noshade="t" o:hr="t" fillcolor="#d1d0d0" stroked="f"/>
        </w:pict>
      </w:r>
    </w:p>
    <w:p w:rsidR="00135C64" w:rsidRPr="00135C64" w:rsidRDefault="00C4453F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6" w:anchor="_ftnref1" w:history="1">
        <w:r w:rsidR="00135C64" w:rsidRPr="00135C64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eastAsia="ru-RU"/>
          </w:rPr>
          <w:t>[1]</w:t>
        </w:r>
      </w:hyperlink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PISA – международная программа по оценке образовательных достижений (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Programme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for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International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Student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Assessment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), оценивается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сформированность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функциональной грамотности учащихся 15-летнего возраста. Осуществляется Организацией Экономического Сотрудничества и Развития (OECD –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Organization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for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Economic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Cooperation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and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Development</w:t>
      </w:r>
      <w:proofErr w:type="spellEnd"/>
      <w:r w:rsidR="00135C64"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). Главный вопрос, на который отвечает исследование, –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lastRenderedPageBreak/>
        <w:t> </w:t>
      </w:r>
    </w:p>
    <w:p w:rsidR="00135C64" w:rsidRPr="00135C64" w:rsidRDefault="00135C64" w:rsidP="00135C64">
      <w:pPr>
        <w:pBdr>
          <w:bottom w:val="single" w:sz="6" w:space="4" w:color="CCCCCC"/>
        </w:pBd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  <w:r w:rsidRPr="00135C64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  <w:t>Публикации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Научные статьи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Общие подходы: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1.        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Басюк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В.С., Ковалева Г.С. Инновационный проект Министерства просвещения «Мониторинг формирования функциональной грамотности»: основные направления и первые результаты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2.         Ковалева Г.С. К новому учебному году: на пути решения стратегических задач // «Вестник образования России» июль №14 2019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3.         Ковалева Г.С. Что необходимо знать каждому учителю о функциональной грамотности // «Вестник образования России» август №16 2019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Математическая грамотность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   Рослова Л.О., Краснянская К.А.,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Квитко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Е.С. Концептуальные основы формирования и оценки математической грамотности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2.       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Рыдзе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О.А., Краснянская К.А. Преемственность в формировании математической функциональной грамотности учащихся начальной и основной школы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val="en-US"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3.        Roslova L., Bachurina M. MATHEMATICAL EDUCATION CONTENT IN THE CONTEXT OF MATHEMATICAL LITERACY // EEIA 2019 International Conference "Education Environment for the Information Age", p. 673-681. </w:t>
      </w:r>
      <w:proofErr w:type="spellStart"/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doi</w:t>
      </w:r>
      <w:proofErr w:type="spellEnd"/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: </w:t>
      </w:r>
      <w:hyperlink r:id="rId7" w:history="1">
        <w:r w:rsidRPr="00135C64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val="en-US" w:eastAsia="ru-RU"/>
          </w:rPr>
          <w:t>https://doi.org/10.15405/epsbs.2019.09.02.77</w:t>
        </w:r>
      </w:hyperlink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val="en-US" w:eastAsia="ru-RU"/>
        </w:rPr>
        <w:t>(Web of Science)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4.      Рослова Л.О., Бачурина М.А. Содержание математического образования в контексте формирования функциональной математической грамотности / Л.О. Рослова, М.А. Бачурина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International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conference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“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Education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Environment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for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the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Information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Age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- 2019”) (EEIA –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2019)/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Под ред. С.В. Ивановой. 2019. М.: ФГБНУ «Институт стратегии развития образования РАО», С. 1054-1068.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ВАК,   </w:t>
      </w:r>
      <w:proofErr w:type="gram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  РИНЦ)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lastRenderedPageBreak/>
        <w:t xml:space="preserve">5.      Рослова Л.О.,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Карамова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И.И. Готовность учителя к формированию математической грамотности /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Л.О.Рослова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И.И.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Карамова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// Математика. 2019. №8. С.20-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22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.(</w:t>
      </w:r>
      <w:proofErr w:type="gram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Читательская грамотность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Гостева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Ю.Н., Сидорова Г.А., Кузнецова М.И., Рябинина Л.А., Чабан Т.Ю Теория и практика оценивания читательской грамотности как компонента функциональной грамотности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   Рябинина Л.А., Чабан Т.Ю. Мониторинг читательской грамотности: региональный опыт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Естественнонаучная грамотность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А.Ю., Никифоров Г.Г., Никишова Е.А. Основные подходы к оценке естественнонаучной грамотности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2.       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А.Ю., Никифоров Г.Г., Никишова Е.А. Формы использования заданий по оцениванию и формированию естественнонаучной грамотности в учебном процессе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3.        Никишова Е.А. Формирование у обучающихся читательской и естественнонаучной грамотности при изучении биологии. // Педагогические измерения.  - № 2, 2019. С. 72 – 78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(ВАК, РИНЦ)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Финансовая грамотность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    Рутковская </w:t>
      </w:r>
      <w:proofErr w:type="spellStart"/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Е.Л.,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Городецкая</w:t>
      </w:r>
      <w:proofErr w:type="spellEnd"/>
      <w:proofErr w:type="gram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Н.И. Финансовая грамотность российского школьника: проблемы развития // Образовательное пространство в информационную эпоху (</w:t>
      </w:r>
      <w:proofErr w:type="spellStart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International</w:t>
      </w:r>
      <w:proofErr w:type="spell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conference</w:t>
      </w:r>
      <w:proofErr w:type="spell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“</w:t>
      </w:r>
      <w:proofErr w:type="spellStart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Education</w:t>
      </w:r>
      <w:proofErr w:type="spell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Environment</w:t>
      </w:r>
      <w:proofErr w:type="spell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for</w:t>
      </w:r>
      <w:proofErr w:type="spell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the</w:t>
      </w:r>
      <w:proofErr w:type="spell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Information</w:t>
      </w:r>
      <w:proofErr w:type="spell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Age</w:t>
      </w:r>
      <w:proofErr w:type="spell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”) (EEIA -2018) / Под ред. С.В. Ивановой. М.: ФГБНУ «Институт стратегии развития образования РАО». – С. 653-661.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(</w:t>
      </w:r>
      <w:proofErr w:type="gram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РИНЦ,   </w:t>
      </w:r>
      <w:proofErr w:type="gram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  </w:t>
      </w:r>
      <w:proofErr w:type="spell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Web</w:t>
      </w:r>
      <w:proofErr w:type="spell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of</w:t>
      </w:r>
      <w:proofErr w:type="spell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Science</w:t>
      </w:r>
      <w:proofErr w:type="spell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    Рутковская Е.Л.,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Е.С. Учет познавательного и социального опыта младших школьников при разработке заданий по финансовой грамотности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International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conference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“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Education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Environment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lastRenderedPageBreak/>
        <w:t>for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the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Information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Age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- 2019”) (EEIA – 2019) / Под ред. С.В. Ивановой. М.: ФГБНУ «Институт стратегии развития образования РАО», 2019. С. 1092-1106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(</w:t>
      </w:r>
      <w:proofErr w:type="gram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РИНЦ,   </w:t>
      </w:r>
      <w:proofErr w:type="gram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  </w:t>
      </w:r>
      <w:proofErr w:type="spell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Web</w:t>
      </w:r>
      <w:proofErr w:type="spell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of</w:t>
      </w:r>
      <w:proofErr w:type="spell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Science</w:t>
      </w:r>
      <w:proofErr w:type="spell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3.        Рутковская Е.Л. Финансовая грамотность как компонент функциональной грамотности//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4.        Рутковская Е.Л. Функциональная грамотность: возможности школьного обществознания // Преподавание истории и обществознания в школе. - 2019. - № 8. - С. 28–35.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РИНЦ,   </w:t>
      </w:r>
      <w:proofErr w:type="gram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 ВАК)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5.        Рутковская Е.Л. Введение учащихся в индивидуальное проектирование в области финансовой грамотности: методическое сопровождение педагогов-кураторов / Актуальные вопросы гуманитарных наук: теория, методика, практика. К 20-летию кафедры методики преподавания истории, обществознания и права: Сборник научных статей. Выпуск VI / Под ред.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А.А.Сорокина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. – М.: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Книгодел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2019. С.383-391.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(РИНЦ)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6.        Рутковская Е.Л.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 Финансовая грамотность: как оценивается результат? // Актуальные вопросы гуманитарных наук: теория, методика, практика: Памяти академика РАО Л.Н. Боголюбова: Сборник научных статей. Выпуск V. В 2 т. / Под ред.  </w:t>
      </w:r>
      <w:proofErr w:type="spellStart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А.А.Сорокина</w:t>
      </w:r>
      <w:proofErr w:type="spell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Книгодел</w:t>
      </w:r>
      <w:proofErr w:type="spellEnd"/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, 2018. Т.1. – 392 с. - С. 245-255.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7.         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Е.С. Задания по финансовой грамотности: подходы к разработке и цели использования» // «Преподавание истории и обществознания в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школе» 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РИНЦ,     ВАК)  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8.        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Половникова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А.В., Козлова А.А. Задания по финансовой грамотности в контексте реализации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системнодеятельностного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подхода: особенности моделирования и опыт апробации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9.        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Е.С. Формирование финансовой грамотности при решении познавательных заданий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10.     Городецкая Н.И., Рутковская Е.Л. Формирование финансовой грамотности учащихся основной школы в современных условиях // Преподавание истории и обществознания в школе. - 2019. - № 3. - С. 71–80.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РИНЦ,   </w:t>
      </w:r>
      <w:proofErr w:type="gram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11.     Городецкая Н.И., Рутковская Е.Л. Формирование финансовой грамотности учащихся основной школы в современных условиях // Преподавание истории и обществознания в школе. - 2019. - № 4. - С. 73–80 (</w:t>
      </w:r>
      <w:proofErr w:type="gramStart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РИНЦ,   </w:t>
      </w:r>
      <w:proofErr w:type="gramEnd"/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 ВАК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val="en-US"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lastRenderedPageBreak/>
        <w:t>12.    Elena L. Rutkovskaya, Natalia I. Gorodetskaya FINANCIAL LITERACY OF THE RUSSIAN SCHOOLCHILDREN: DEVELOPMENT PROBLEMS (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Рутковская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Е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.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Л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., 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Городецкая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Н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.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И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. 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Финансовая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 xml:space="preserve"> 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грамотность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 xml:space="preserve"> 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российского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 xml:space="preserve"> 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школьника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 xml:space="preserve">: 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проблемы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 xml:space="preserve"> 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развития</w:t>
      </w:r>
      <w:r w:rsidRPr="00135C64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>) // 2018 </w:t>
      </w: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International Conference "Education Environment for the Information Age" (EEIA-2018), Moscow, Russia, June 5-6, 2018. - </w:t>
      </w:r>
      <w:r w:rsidRPr="00135C64">
        <w:rPr>
          <w:rFonts w:ascii="Verdana" w:eastAsia="Times New Roman" w:hAnsi="Verdana" w:cs="Tahoma"/>
          <w:i/>
          <w:iCs/>
          <w:color w:val="00134F"/>
          <w:sz w:val="24"/>
          <w:szCs w:val="24"/>
          <w:lang w:val="en-US" w:eastAsia="ru-RU"/>
        </w:rPr>
        <w:t> </w:t>
      </w:r>
      <w:r w:rsidRPr="00135C64">
        <w:rPr>
          <w:rFonts w:ascii="Verdana" w:eastAsia="Times New Roman" w:hAnsi="Verdana" w:cs="Tahoma"/>
          <w:color w:val="00134F"/>
          <w:sz w:val="24"/>
          <w:szCs w:val="24"/>
          <w:lang w:eastAsia="ru-RU"/>
        </w:rPr>
        <w:t>С</w:t>
      </w:r>
      <w:r w:rsidRPr="00135C64">
        <w:rPr>
          <w:rFonts w:ascii="Verdana" w:eastAsia="Times New Roman" w:hAnsi="Verdana" w:cs="Tahoma"/>
          <w:color w:val="00134F"/>
          <w:sz w:val="24"/>
          <w:szCs w:val="24"/>
          <w:lang w:val="en-US" w:eastAsia="ru-RU"/>
        </w:rPr>
        <w:t>.636-643</w:t>
      </w:r>
      <w:hyperlink r:id="rId8" w:history="1">
        <w:r w:rsidRPr="00135C64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val="en-US" w:eastAsia="ru-RU"/>
          </w:rPr>
          <w:t>https://dx.doi.org/10.15405/epsbs.2018.09.02.74</w:t>
        </w:r>
      </w:hyperlink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val="en-US"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13.    Elena L. Rutkovskaya (a)*, Evgenia S. Korolkova (b)  Primary students’ cognitive and social experience in financial literacy tasks creating </w:t>
      </w:r>
      <w:r w:rsidRPr="00135C64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val="en-US" w:eastAsia="ru-RU"/>
        </w:rPr>
        <w:t>/ The European Proceedings of Social and Behavioral Sciences. Vol. LXIX - "Education Environment for the Information Age" (EEIA-2019), 2019. P. 682-691. </w:t>
      </w:r>
      <w:proofErr w:type="spellStart"/>
      <w:proofErr w:type="gramStart"/>
      <w:r w:rsidRPr="00135C64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val="en-US" w:eastAsia="ru-RU"/>
        </w:rPr>
        <w:t>doi</w:t>
      </w:r>
      <w:proofErr w:type="gramEnd"/>
      <w:r w:rsidRPr="00135C64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val="en-US" w:eastAsia="ru-RU"/>
        </w:rPr>
        <w:t>:</w:t>
      </w:r>
      <w:hyperlink r:id="rId9" w:history="1">
        <w:r w:rsidRPr="00135C64">
          <w:rPr>
            <w:rFonts w:ascii="Verdana" w:eastAsia="Times New Roman" w:hAnsi="Verdana" w:cs="Tahoma"/>
            <w:color w:val="486DAA"/>
            <w:sz w:val="24"/>
            <w:szCs w:val="24"/>
            <w:u w:val="single"/>
            <w:shd w:val="clear" w:color="auto" w:fill="FFFFFF"/>
            <w:lang w:val="en-US" w:eastAsia="ru-RU"/>
          </w:rPr>
          <w:t>https</w:t>
        </w:r>
        <w:proofErr w:type="spellEnd"/>
        <w:r w:rsidRPr="00135C64">
          <w:rPr>
            <w:rFonts w:ascii="Verdana" w:eastAsia="Times New Roman" w:hAnsi="Verdana" w:cs="Tahoma"/>
            <w:color w:val="486DAA"/>
            <w:sz w:val="24"/>
            <w:szCs w:val="24"/>
            <w:u w:val="single"/>
            <w:shd w:val="clear" w:color="auto" w:fill="FFFFFF"/>
            <w:lang w:val="en-US" w:eastAsia="ru-RU"/>
          </w:rPr>
          <w:t>://doi.org/10.15405/epsbs.2019.09.02.78</w:t>
        </w:r>
      </w:hyperlink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val="en-US"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val="en-US"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val="en-US"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Глобальные компетенции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С.Е.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Метапредметные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образовательные результаты: умение работать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с графиками и диаграммами в КИМ ГИА// Современные векторы развития образования: актуальные проблемы и перспективные решения: сб. науч. тр. / XI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Международ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 науч.-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практич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конф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 «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Шамовские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педагогические чтения научной школы Управления образовательными системами» (25 января 2019 г.). В 2 ч. Ч. 1. – М.: 5 за знания; МПГУ, 2019. – 728 с. С. 283-287 (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    Коваль Т.В.  Модели интеграции и возможности достижения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метапредметных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результатов // Современные векторы развития образования: актуальные проблемы и перспективные решения: сб. науч. тр. / XI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Международ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 науч.-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практич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конф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 «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Шамовские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педагогические чтения научной школы Управления образовательными системами» (25 января 2019 г.). В 2 ч. Ч. 1. – М.: 5 за знания; МПГУ, 2019. – 728 с. С. 249-252 (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3.         Коваль Т.В.,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С.Е. Концептуальная рамка глобальных компетенций // Актуальные вопросы гуманитарных наук: теория, методика, практика: Сборник научных статей. Выпуск VI. В 2 т. / Под ред. А. А. Сорокина. -М.: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Книгодел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2019. Т. 1. — 392 с.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4.        Коваль Т.В.,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С.Е. Глобальные компетенции — новый компонент функциональной грамотности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lastRenderedPageBreak/>
        <w:t xml:space="preserve">5.        Коваль Т.В.,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С.Е. Как оценивать умения учащихся в сфере глобальных компетенций // «Отечественная и зарубежная педагогика» № </w:t>
      </w:r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  Т.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Креативное мышление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Авдеенко Н.А., Демидова </w:t>
      </w:r>
      <w:proofErr w:type="spellStart"/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М.Ю.,Ковалева</w:t>
      </w:r>
      <w:proofErr w:type="spellEnd"/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Г.С., Логинова О.Б., Михайлова А.М., Яковлева С.Г. Основные подходы к оценке креативного мышления в рамках проекта «Мониторинг формирования функциональной грамотности»// «Отечественная и зарубежная педагогика» № 4  Т.1 (61) 2019 </w:t>
      </w: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Опубликованные сборники в издательство «Просвещение» учебные пособия (оформлены как РИД):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Математическая грамотность. Сборник эталонных заданий. Выпуск 1, часть 1/ Л.О. Рослова, Г.С. Ковалева, Е.С.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Квитко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О.А.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Рыдзе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К.А. Краснянская / Под ред. Л.О. Рословой, Г.С. Ковалевой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 Математическая грамотность. Сборник эталонных заданий. Выпуск 1, часть 2/ Л.О. Рослова, Г.С. Ковалева, Е.С.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Квитко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О.А.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Рыдзе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К.А. Краснянская / Под ред. Л.О. Рословой, Г.С. Ковалевой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3.      Естественнонаучная грамотность. Сборник эталонных заданий. Выпуск 1 / Г.С. Ковалева, Е.А. Никишова, Г.Г. Никифоров, А.Ю.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Г.С. Ковалевой, А.Ю.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Пентина</w:t>
      </w:r>
      <w:proofErr w:type="spellEnd"/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4.      Читательская грамотность. Сборник эталонных заданий. Выпуск 1, часть 1/ Ю.Н.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Гостева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Г.С. Ковалева, М.И. Кузнецова, Л.А. Рябинина, Г.А. Сидорова, Т.Ю. Чабан / Под ред. Г.С. Ковалевой, Л.А. Рябининой.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5.      Читательская грамотность. Сборник эталонных заданий. Выпуск 1, часть 2/ Ю.Н.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Гостева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Г.С. Ковалева, М.И. Кузнецова, Л.А. Рябинина, Г.А. Сидорова, Т.Ю. Чабан / Под ред. Г.С. Ковалевой, Л.А. Рябининой.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6.      Финансовая грамотность. Сборник эталонных заданий. Выпуск 1 / Г.С. Ковалева, А.А. Козлова, Е.С.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А.В.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Половникова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Е.Л. Рутковская / Под ред. Г.С. Ковалевой, Е.Л. Рутковской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lastRenderedPageBreak/>
        <w:t>7.      Креативное мышление. Сборник эталонных заданий. Выпуск 1/ Н.А. Авдеенко, Г.С. Ковалева, О.Б. Логинова, С.Г. Яковлева / Под. ред. Г.С. Ковалева, О.Б. Логинова.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8.      Глобальные компетенции. Сборник эталонных заданий. Выпуск 1 / С.Е.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Г.С. Ковалева, Т.В. Коваль / Под ред. Г.С. Ковалева, Т.В. Коваль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Подготовлены и приняты к публикации в издательство «Просвещение» учебные пособия (оформлены как РИД):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1.         Математическая грамотность. Сборник эталонных заданий. Выпуск 2, часть 1/ Л.О. Рослова, Г.С. Ковалева, О.А.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Рыдзе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К.А. Краснянская, Л.О.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Денищева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Л.О. Рословой, Г.С. Ковалевой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 Математическая грамотность. Сборник эталонных заданий. Выпуск 2, часть 2/ Л.О. Рослова, Г.С. Ковалева, Е.С.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Квитко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Л.О.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Денищева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И.И.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Карамова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Л.О. Рословой, Г.С. Ковалевой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3.      Естественнонаучная грамотность. Сборник эталонных заданий. Выпуск 2 / Г.С. Ковалева, Е.А. Никишова, А.Ю.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Н.А. Заграничная, Г.Ю. Семенова, К.П.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Вергелес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Г.С. Ковалевой, А.Ю.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Пентина</w:t>
      </w:r>
      <w:proofErr w:type="spellEnd"/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4.      Читательская грамотность. Сборник эталонных заданий. Выпуск 2, часть 1/ Ю.Н.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Гостева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Г.С. Ковалева, М.И. Кузнецова, Л.А. Рябинина, Г.А. Сидорова, / Под ред. Г.С. Ковалевой, Л.А. Рябининой.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5.      Читательская грамотность. Сборник эталонных заданий. Выпуск 2, часть 2/ Г.С. Ковалева, Л.А. </w:t>
      </w:r>
      <w:proofErr w:type="spellStart"/>
      <w:proofErr w:type="gram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Рябинина,.</w:t>
      </w:r>
      <w:proofErr w:type="gram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Ю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 Чабан / Под ред. Г.С. Ковалевой, Л.А. Рябининой.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6.      Финансовая грамотность. Сборник эталонных заданий. Выпуск 2, часть 1 / Г.С. Ковалева, А.А. Козлова, Е.С.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А.В.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Половникова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Е.Л. Рутковская, Н.В.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Штильман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А.А.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Бочихина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Г.С. Ковалевой, Е.Л. Рутковской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7.      Финансовая грамотность. Сборник эталонных заданий. Выпуск 2, часть 2 / Г.С. Ковалева, А.А. Козлова, Е.С.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А.В.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Половникова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Е.Л. Рутковская, Н.В.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Штильман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А.А.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Бочихина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Г.С. Ковалевой, Е.Л. Рутковской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8.      Креативное мышление. Сборник эталонных заданий. Выпуск 2/ Н.А. Авдеенко, Г.С. Ковалева, О.Б. Логинова, С.Г. Яковлева, М.Ю. Демидова / Под. ред. Г.С. Ковалева, О.Б. Логинова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lastRenderedPageBreak/>
        <w:t xml:space="preserve">9.      Глобальные компетенции. Сборник эталонных заданий. Выпуск 2 / С.Е. </w:t>
      </w:r>
      <w:proofErr w:type="spellStart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Г.С. Ковалева, Т.В. Коваль / Под ред. Г.С. Ковалева, Т.В. Коваль.</w:t>
      </w:r>
    </w:p>
    <w:p w:rsidR="00135C64" w:rsidRPr="00135C64" w:rsidRDefault="00135C64" w:rsidP="00135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135C64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</w:t>
      </w:r>
    </w:p>
    <w:p w:rsidR="009823C8" w:rsidRDefault="00135C64" w:rsidP="00135C64">
      <w:r w:rsidRPr="00135C64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sectPr w:rsidR="0098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64"/>
    <w:rsid w:val="00135C64"/>
    <w:rsid w:val="009823C8"/>
    <w:rsid w:val="00C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382A0-C9F3-4FE7-8825-2126C62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35C64"/>
    <w:rPr>
      <w:color w:val="0000FF"/>
      <w:u w:val="single"/>
    </w:rPr>
  </w:style>
  <w:style w:type="character" w:styleId="a5">
    <w:name w:val="Strong"/>
    <w:basedOn w:val="a0"/>
    <w:uiPriority w:val="22"/>
    <w:qFormat/>
    <w:rsid w:val="00135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5405/epsbs.2018.09.02.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5405/epsbs.2019.09.02.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%D0%A1%D0%BA%D0%B8%D0%B2\%D0%9E%20%D0%BF%D1%80%D0%BE%D0%B5%D0%BA%D1%82%D0%B5_%20%D0%BF%D1%80%D0%B0%D0%B2%D0%BA%D0%B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dmin\Downloads\%D0%A1%D0%BA%D0%B8%D0%B2\%D0%9E%20%D0%BF%D1%80%D0%BE%D0%B5%D0%BA%D1%82%D0%B5_%20%D0%BF%D1%80%D0%B0%D0%B2%D0%BA%D0%B0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Admin\AppData\Local\Temp\Rar$DIa0.370\%D0%9E%20%D0%BF%D1%80%D0%BE%D0%B5%D0%BA%D1%82%D0%B5_%202.docx" TargetMode="External"/><Relationship Id="rId9" Type="http://schemas.openxmlformats.org/officeDocument/2006/relationships/hyperlink" Target="https://doi.org/10.15405/epsbs.2019.09.02.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2021-09-28T05:00:00Z</dcterms:created>
  <dcterms:modified xsi:type="dcterms:W3CDTF">2021-09-28T05:07:00Z</dcterms:modified>
</cp:coreProperties>
</file>